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pacing w:before="297" w:after="57"/>
        <w:ind w:hanging="0"/>
        <w:jc w:val="righ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Приложени</w:t>
      </w:r>
      <w:r>
        <w:rPr>
          <w:rFonts w:cs="Times New Roman" w:ascii="Times New Roman" w:hAnsi="Times New Roman"/>
          <w:i/>
          <w:iCs/>
          <w:sz w:val="28"/>
          <w:szCs w:val="28"/>
        </w:rPr>
        <w:t>е к отчету СПК ФКиС за 2019 год</w:t>
      </w:r>
    </w:p>
    <w:p>
      <w:pPr>
        <w:pStyle w:val="2"/>
        <w:numPr>
          <w:ilvl w:val="0"/>
          <w:numId w:val="0"/>
        </w:numPr>
        <w:spacing w:before="154" w:after="354"/>
        <w:ind w:left="576" w:hanging="576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Приложение № 1. </w:t>
      </w:r>
    </w:p>
    <w:p>
      <w:pPr>
        <w:pStyle w:val="2"/>
        <w:numPr>
          <w:ilvl w:val="0"/>
          <w:numId w:val="0"/>
        </w:numPr>
        <w:ind w:left="576" w:hanging="5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</w:r>
    </w:p>
    <w:p>
      <w:pPr>
        <w:pStyle w:val="2"/>
        <w:numPr>
          <w:ilvl w:val="0"/>
          <w:numId w:val="0"/>
        </w:numPr>
        <w:ind w:left="576" w:hanging="5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Проверочный лист для самооценки деятельности СПК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ФКиС </w:t>
      </w:r>
    </w:p>
    <w:tbl>
      <w:tblPr>
        <w:tblStyle w:val="a4"/>
        <w:tblW w:w="15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"/>
        <w:gridCol w:w="3373"/>
        <w:gridCol w:w="4422"/>
        <w:gridCol w:w="3262"/>
        <w:gridCol w:w="3270"/>
      </w:tblGrid>
      <w:tr>
        <w:trPr>
          <w:tblHeader w:val="true"/>
        </w:trPr>
        <w:tc>
          <w:tcPr>
            <w:tcW w:w="101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7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Нормативный правовой акт, установивший требование </w:t>
            </w:r>
          </w:p>
        </w:tc>
        <w:tc>
          <w:tcPr>
            <w:tcW w:w="32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Исполнение Советом соответствующего требования (полное/неполное/отсутствует)</w:t>
            </w:r>
          </w:p>
        </w:tc>
        <w:tc>
          <w:tcPr>
            <w:tcW w:w="32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Комментарий об исполнении Советом соответствующего требования</w:t>
            </w:r>
          </w:p>
        </w:tc>
      </w:tr>
      <w:tr>
        <w:trPr>
          <w:tblHeader w:val="true"/>
        </w:trPr>
        <w:tc>
          <w:tcPr>
            <w:tcW w:w="1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32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Общие положения об организации деятельности Совета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3 ст. 7 Федерального закона от 3 июля 2017 года № 238-ФЗ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 независимой оценке квалификации» (далее – Федеральный закон «О независимой оценке квалификаций»)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разработал на основе примерного положения о совете по профессиональным квалификациям Положение и утвердил его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Ссылка на страницу сайта Совета 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hyperlink r:id="rId2">
              <w:r>
                <w:rPr>
                  <w:rStyle w:val="Style12"/>
                  <w:rFonts w:cs="Times New Roman" w:ascii="Times New Roman" w:hAnsi="Times New Roman"/>
                  <w:sz w:val="24"/>
                  <w:szCs w:val="24"/>
                </w:rPr>
                <w:t>http://spk-fkis.ru/?page_id=512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9 Примерного положения о совете по профессиональным квалификациям (утверждено приказом Минтруда России от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 декабря 2016 г. № 758н, далее – Примерное положение)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проводит заседания не реже одного раза в квартал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(ссылки) на страницу сайта Совета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hyperlink r:id="rId3">
              <w:r>
                <w:rPr>
                  <w:rStyle w:val="Style12"/>
                  <w:rFonts w:cs="Times New Roman" w:ascii="Times New Roman" w:hAnsi="Times New Roman"/>
                  <w:sz w:val="24"/>
                  <w:szCs w:val="24"/>
                </w:rPr>
                <w:t>http://spk-fkis.ru/?page_id=1305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2 статьи 7 Федерального закона «О независимой оценке квалификации»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состав Совета входят представители профессиональных союзов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представителей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- 1 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 7 Порядка осуществления мониторинга и контроля в сфере независимой оценки квалификации (утвержден Приказом Минтруда России от 14 декабря 2016 г. № 759н, далее – Порядок осуществления мониторинга и контроля в сфере НОК)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своевременно (до 1 марта года, следующего за отчетным периодом) представляет отчет о деятельности Совета за прошедший календарный год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своевременное исполнение о предоставлении Советом отчета за прошедший календарный год</w:t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роведение мониторинга рынка труда, обеспечения его потребностей в квалификациях и профессиональном образовании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 Примерного положения 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Совет проводит не реже одного раза в два года мониторинг рынка труда 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проведении мониторинга направлен в НАРК</w:t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Разработка и актуализация профессиональных стандартов и квалификационных требований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 Примерного положения 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осуществляет разработку и актуализацию профессиональных стандартов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 актуализированных в 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 профессиональных стандартов</w:t>
            </w:r>
            <w:bookmarkStart w:id="0" w:name="_Ref536028400"/>
            <w:bookmarkEnd w:id="0"/>
            <w:r>
              <w:rPr>
                <w:rStyle w:val="Style14"/>
                <w:rFonts w:cs="Times New Roman"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проводит экспертизу ФГОС, ПООП и их проектов, оценку их соответствия профессиональным стандартам, готовит предложения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о проведении ФГОС, ПООП прикреплен в Приложении № 4 и</w:t>
            </w: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направлен в НАРК </w:t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Проведение профессионально-общественной аккредитации основных профессиональных образовательных программ, основных программ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профессионального обучения, дополнительных профессиональных программ (далее – профессионально-общественная аккредитация)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требования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(утв. Председателем Национального совета 3 июля 2017 г., далее – Общие требования к проведению ПОА)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наделил полномочием на проведение профессионально-общественной аккредитации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 по виду (видам) профессиональной деятельности, отнесенным к ведению Совета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наделил полномочием на проведение профессионально-общественной аккредитации  ОПОП, ОППО, ДПП Общероссийское отраслевое объединение работодателей «Союз работодателей в сфере физической культуры и спорта»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ОООР ФКиС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внесен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реестр аккредитующих организаций Минпросвещения России и Минобрнауки России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4 Порядка формирования и ведения перечня организаций, проводящих профессионально-общественную аккредитацию (утв. Постановлением Правительства Российской Федерации от 11 апреля 2017 г. № 431) 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направил в Минобрнауки России информацию об аккредитующих организациях в АИС «Мониторинг ПОА»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полное 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сведения внесены в АИС «Мониторинг ПОА» об аккредитующей организации ОООР ФКиС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6 Общих требований к проведению ПОА 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Советом установлен порядок проведения профессионально-общественной аккредитации в соответствии с Общими требованиями к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проведению ПОА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страницу сайта Совета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 xml:space="preserve">ссылка…….на сайт 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6 Общих требований к проведению ПОА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осуществляет ведение реестра экспертов профессионально-общественной аккредитации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 работе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реестр экспертов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Организация проведения независимой оценки квалификации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ст. 7 Федерального закона от 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июля 2016 г. № 238-ФЗ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осуществляет разработку наименований квалификаций и требований к квалификации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Разработаны и утверждены 17 наименований квалификаций и  требований к квалификации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Разработаны и направлены на утверждение в НАРК 16  наименований квалификаций и  требований к квалификации</w:t>
            </w:r>
          </w:p>
        </w:tc>
      </w:tr>
      <w:tr>
        <w:trPr>
          <w:trHeight w:val="1321" w:hRule="atLeast"/>
        </w:trPr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проводит оценку квалификации экспертов центров оценки квалификаций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оличество экспертов, прошедших оценку квалификации</w:t>
            </w:r>
            <w:r>
              <w:rPr>
                <w:rStyle w:val="Style14"/>
                <w:rFonts w:cs="Times New Roman" w:ascii="Times New Roman" w:hAnsi="Times New Roman"/>
                <w:sz w:val="24"/>
                <w:szCs w:val="24"/>
              </w:rPr>
              <w:footnoteReference w:id="3"/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51 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организует разработку и утверждение оценочных средств по соответствующим квалификациям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утвержденных Советом</w:t>
            </w:r>
            <w:r>
              <w:fldChar w:fldCharType="begin"/>
            </w:r>
            <w:r>
              <w:rPr/>
              <w:instrText>NOTEREF _Ref536028400  \* MERGEFORMAT</w:instrText>
            </w:r>
            <w:r>
              <w:rPr/>
              <w:fldChar w:fldCharType="separate"/>
            </w:r>
            <w:bookmarkStart w:id="1" w:name="Bookmark"/>
            <w:r>
              <w:rPr/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bookmarkStart w:id="2" w:name="Bookmark1"/>
            <w:r>
              <w:rPr/>
            </w:r>
            <w:r>
              <w:rPr/>
              <w:fldChar w:fldCharType="end"/>
            </w:r>
            <w:bookmarkEnd w:id="1"/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оценочных средств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10 Перечня сведений, содержащихся в Реестре сведений о проведении независимой оценки квалификации (утвержден Приказом Минтруда России от 15 ноября 2016 г. № 649н)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разместил сведения об оценочных средствах в Реестре сведений о проведении независимой оценки квалификаций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Размещены сведения о 17 ОС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подпункт «а» пункта 14 Положения о разработке оценочных средств для проведения независимой оценки квалификации (утверждено Приказом Минтруда России от 1 ноября 2016 г. № 601н)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разместил примеры заданий, входящих в состав оценочных средств на сайте Совета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оценочных средств, по которым размещены примеры заданий на сайте Совета</w:t>
            </w:r>
            <w:r>
              <w:fldChar w:fldCharType="begin"/>
            </w:r>
            <w:r>
              <w:rPr/>
              <w:instrText>NOTEREF _Ref536028400  \* MERGEFORMAT</w:instrText>
            </w:r>
            <w:r>
              <w:rPr/>
              <w:fldChar w:fldCharType="separate"/>
            </w:r>
            <w:bookmarkStart w:id="3" w:name="Bookmark2"/>
            <w:r>
              <w:rPr/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bookmarkStart w:id="4" w:name="Bookmark11"/>
            <w:r>
              <w:rPr/>
            </w:r>
            <w:r>
              <w:rPr/>
              <w:fldChar w:fldCharType="end"/>
            </w:r>
            <w:bookmarkEnd w:id="3"/>
            <w:bookmarkEnd w:id="4"/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- </w:t>
            </w:r>
            <w:r>
              <w:rPr/>
              <w:t>17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2"/>
                </w:rPr>
                <w:t>http://spk-fkis.ru/?page_id=2352</w:t>
              </w:r>
            </w:hyperlink>
            <w:r>
              <w:rPr/>
              <w:t xml:space="preserve"> 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ст. 7 Федерального закона от 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июля 2016 г. № 238-ФЗ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проводит отбор организаций для выполнения ими функций центров оценки квалификации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 отбор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ЦОК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Полномочиями на проведение НОК  в отчетном периоде ЦОК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не наделял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ись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для ее внесения в Реестр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yellow"/>
              </w:rPr>
              <w:t>отсутствует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  <w:t>отсутствует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12 Порядка осуществления мониторинга и контроля в сфере независимой оценки квалификации (утвержден приказом Минтруда России от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 декабря 2016 г. № 729н, далее – Порядок осуществления мониторинга и контроля)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Советом по профессиональным квалификациям проводится мониторинг и контроль деятельности центров оценки квалификации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yellow"/>
              </w:rPr>
              <w:t>мониторинг и контроль деятельности ЦОК не проводился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отсутствует</w:t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Взаимодействие с Реестром сведений о проведении независимой оценки квалификации (далее – Реестр)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4 Перечня сведений, содержащихся в Реестре сведений о проведении независимой оценке квалификации (утв. приказом Минтруда России от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 ноября 2016 г. № 649н)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Реестре размещены сведения о полном наименовании Совета 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Реестре размещены сведения о полном наименовании организации, на базе которой создан Совет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Реестре размещена контактная информация о базовой организации Совета, включая почтовый адрес, адрес электронной почты, номера контактных телефонов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Реестре размещены сведения о видах профессиональной деятельности, в отношении которых Совет наделен полномочиями по проведению независимой оценки квалификации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Реестре размещен персональный состав Совета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Реестре размещен перечень организаций, наделенных Советом полномочиями центров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highlight w:val="yellow"/>
              </w:rPr>
              <w:t>отсутствует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Реестре размещены сведения об апелляционной комиссии Совета (почтовый адрес, адрес электронной почты, номера контактных телефонов)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34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Обеспечение информационной открытости Совета </w:t>
            </w:r>
          </w:p>
        </w:tc>
      </w:tr>
      <w:tr>
        <w:trPr/>
        <w:tc>
          <w:tcPr>
            <w:tcW w:w="101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73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 14 Примерного положения </w:t>
            </w:r>
          </w:p>
        </w:tc>
        <w:tc>
          <w:tcPr>
            <w:tcW w:w="442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Советом создан сайт в сети Интернет</w:t>
            </w:r>
          </w:p>
        </w:tc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</w:tc>
        <w:tc>
          <w:tcPr>
            <w:tcW w:w="3270" w:type="dxa"/>
            <w:tcBorders/>
            <w:shd w:fill="auto" w:val="clear"/>
          </w:tcPr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Ссылка на сайт в сети Интернет</w:t>
            </w:r>
          </w:p>
          <w:p>
            <w:pPr>
              <w:pStyle w:val="Normal"/>
              <w:spacing w:lineRule="auto" w:line="240" w:before="0" w:after="160"/>
              <w:contextualSpacing/>
              <w:jc w:val="center"/>
              <w:rPr/>
            </w:pPr>
            <w:hyperlink r:id="rId5">
              <w:r>
                <w:rPr>
                  <w:rStyle w:val="Style12"/>
                  <w:rFonts w:cs="Times New Roman" w:ascii="Times New Roman" w:hAnsi="Times New Roman"/>
                  <w:sz w:val="24"/>
                  <w:szCs w:val="24"/>
                </w:rPr>
                <w:t>http://spk-fkis.ru/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footnotePr>
        <w:numFmt w:val="decimal"/>
      </w:footnote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2"/>
        <w:rPr/>
      </w:pPr>
      <w:r>
        <w:rPr>
          <w:rStyle w:val="Style13"/>
        </w:rPr>
        <w:footnoteRef/>
      </w:r>
      <w:r>
        <w:rPr/>
        <w:tab/>
        <w:t xml:space="preserve"> </w:t>
      </w:r>
      <w:r>
        <w:rPr/>
        <w:t>В отчетном периоде</w:t>
      </w:r>
    </w:p>
  </w:footnote>
  <w:footnote w:id="3">
    <w:p>
      <w:pPr>
        <w:pStyle w:val="Style22"/>
        <w:rPr/>
      </w:pPr>
      <w:r>
        <w:rPr>
          <w:rStyle w:val="Style13"/>
        </w:rPr>
        <w:footnoteRef/>
      </w:r>
      <w:r>
        <w:rPr/>
        <w:tab/>
        <w:t xml:space="preserve"> </w:t>
      </w:r>
      <w:r>
        <w:rPr/>
        <w:t>В отчетном периоде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lineRule="auto" w:line="240" w:before="40" w:after="24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сноски"/>
    <w:qFormat/>
    <w:rPr/>
  </w:style>
  <w:style w:type="character" w:styleId="Style14">
    <w:name w:val="Привязка сноски"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2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k-fkis.ru/?page_id=512" TargetMode="External"/><Relationship Id="rId3" Type="http://schemas.openxmlformats.org/officeDocument/2006/relationships/hyperlink" Target="http://spk-fkis.ru/?page_id=1305" TargetMode="External"/><Relationship Id="rId4" Type="http://schemas.openxmlformats.org/officeDocument/2006/relationships/hyperlink" Target="http://spk-fkis.ru/?page_id=2352" TargetMode="External"/><Relationship Id="rId5" Type="http://schemas.openxmlformats.org/officeDocument/2006/relationships/hyperlink" Target="http://spk-fkis.ru/" TargetMode="Externa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LibreOffice/6.2.3.2$Windows_X86_64 LibreOffice_project/aecc05fe267cc68dde00352a451aa867b3b546ac</Application>
  <Pages>7</Pages>
  <Words>1065</Words>
  <Characters>7398</Characters>
  <CharactersWithSpaces>8522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2020-02-13T18:17:22Z</dcterms:created>
  <dc:creator/>
  <dc:description/>
  <dc:language>ru-RU</dc:language>
  <cp:lastModifiedBy/>
  <cp:lastPrinted>2020-02-25T14:18:18Z</cp:lastPrinted>
  <dcterms:modified xsi:type="dcterms:W3CDTF">2020-02-28T14:59:20Z</dcterms:modified>
  <cp:revision>4</cp:revision>
  <dc:subject/>
  <dc:title/>
</cp:coreProperties>
</file>